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7488" w14:textId="77777777" w:rsidR="00590A22" w:rsidRDefault="00A66EDF" w:rsidP="00A66EDF">
      <w:pPr>
        <w:spacing w:after="199" w:line="259" w:lineRule="auto"/>
        <w:ind w:left="0" w:right="0" w:firstLine="0"/>
        <w:jc w:val="both"/>
      </w:pPr>
      <w:r>
        <w:t xml:space="preserve"> </w:t>
      </w:r>
    </w:p>
    <w:p w14:paraId="73C73CB4" w14:textId="16196BC4" w:rsidR="00590A22" w:rsidRPr="00A66EDF" w:rsidRDefault="00A66EDF" w:rsidP="00A66EDF">
      <w:pPr>
        <w:ind w:left="0" w:right="0"/>
        <w:jc w:val="center"/>
        <w:rPr>
          <w:b/>
          <w:bCs/>
        </w:rPr>
      </w:pPr>
      <w:r w:rsidRPr="00A66EDF">
        <w:rPr>
          <w:b/>
          <w:bCs/>
        </w:rPr>
        <w:t>Alla cortese attenzione del Datore di Lavoro e dei Lavoratori</w:t>
      </w:r>
    </w:p>
    <w:p w14:paraId="3D70CDE9" w14:textId="600F1581" w:rsidR="00590A22" w:rsidRDefault="00A66EDF" w:rsidP="00A66EDF">
      <w:pPr>
        <w:spacing w:after="163" w:line="259" w:lineRule="auto"/>
        <w:ind w:left="0" w:right="0" w:firstLine="0"/>
        <w:jc w:val="both"/>
        <w:rPr>
          <w:b/>
          <w:bCs/>
        </w:rPr>
      </w:pPr>
      <w:r w:rsidRPr="00A66EDF">
        <w:rPr>
          <w:b/>
          <w:bCs/>
          <w:u w:val="single" w:color="000000"/>
        </w:rPr>
        <w:t>OGGETTO: SEGNALAZIONE LAVORATORI “FRAGILI”</w:t>
      </w:r>
    </w:p>
    <w:p w14:paraId="3DB8E67B" w14:textId="77777777" w:rsidR="00A66EDF" w:rsidRPr="00A66EDF" w:rsidRDefault="00A66EDF" w:rsidP="00A66EDF">
      <w:pPr>
        <w:spacing w:after="163" w:line="259" w:lineRule="auto"/>
        <w:ind w:left="0" w:right="0" w:firstLine="0"/>
        <w:jc w:val="both"/>
        <w:rPr>
          <w:b/>
          <w:bCs/>
        </w:rPr>
      </w:pPr>
    </w:p>
    <w:p w14:paraId="2B983BB0" w14:textId="796ED6BF" w:rsidR="00590A22" w:rsidRDefault="00A66EDF" w:rsidP="00A66EDF">
      <w:pPr>
        <w:spacing w:after="233" w:line="261" w:lineRule="auto"/>
        <w:ind w:left="0" w:right="0" w:firstLine="0"/>
        <w:jc w:val="both"/>
        <w:rPr>
          <w:sz w:val="24"/>
        </w:rPr>
      </w:pPr>
      <w:r>
        <w:rPr>
          <w:sz w:val="24"/>
        </w:rPr>
        <w:t>PROTOCOLLO CONDIVISO DI REGOLAMENTAZIONE DELLE MISURE PER IL CONTRASTO E IL CONTENIMENTO DELLA DIFFUSIONE DEL VIRUS COVID-19 NEGLI AMBIENTI DI LAVORO</w:t>
      </w:r>
      <w:r>
        <w:rPr>
          <w:sz w:val="24"/>
        </w:rPr>
        <w:t xml:space="preserve"> </w:t>
      </w:r>
    </w:p>
    <w:p w14:paraId="2C3143F7" w14:textId="77777777" w:rsidR="00A66EDF" w:rsidRDefault="00A66EDF" w:rsidP="00A66EDF">
      <w:pPr>
        <w:spacing w:after="233" w:line="261" w:lineRule="auto"/>
        <w:ind w:left="0" w:right="0" w:firstLine="0"/>
        <w:jc w:val="both"/>
      </w:pPr>
    </w:p>
    <w:p w14:paraId="0A3692D3" w14:textId="790927D4" w:rsidR="00590A22" w:rsidRDefault="00A66EDF" w:rsidP="00A66EDF">
      <w:pPr>
        <w:ind w:left="0" w:right="0"/>
        <w:jc w:val="center"/>
        <w:rPr>
          <w:b/>
          <w:bCs/>
        </w:rPr>
      </w:pPr>
      <w:r w:rsidRPr="00A66EDF">
        <w:rPr>
          <w:b/>
          <w:bCs/>
        </w:rPr>
        <w:t>– INFORMATIVA DA DISTRIBUIRE A TUTTI I LAVORATORI –</w:t>
      </w:r>
    </w:p>
    <w:p w14:paraId="6F49ECB2" w14:textId="77777777" w:rsidR="00A66EDF" w:rsidRPr="00A66EDF" w:rsidRDefault="00A66EDF" w:rsidP="00A66EDF">
      <w:pPr>
        <w:ind w:left="0" w:right="0"/>
        <w:jc w:val="center"/>
        <w:rPr>
          <w:b/>
          <w:bCs/>
        </w:rPr>
      </w:pPr>
    </w:p>
    <w:p w14:paraId="6AAB71DB" w14:textId="77777777" w:rsidR="00590A22" w:rsidRDefault="00A66EDF" w:rsidP="00A66EDF">
      <w:pPr>
        <w:ind w:left="0" w:right="0" w:firstLine="0"/>
        <w:jc w:val="both"/>
      </w:pPr>
      <w:r>
        <w:t>Con riferimento all'attuale emergenza COVID-19 si definiscono "persone con particolari fragilità"(</w:t>
      </w:r>
      <w:proofErr w:type="spellStart"/>
      <w:r>
        <w:t>ipersuscettibili</w:t>
      </w:r>
      <w:proofErr w:type="spellEnd"/>
      <w:r>
        <w:t>) i portatori di patologie attuali o pregresse che li rendano suscettibili di conseguen</w:t>
      </w:r>
      <w:r>
        <w:t xml:space="preserve">ze particolarmente gravi in caso di contagio.  </w:t>
      </w:r>
    </w:p>
    <w:p w14:paraId="4E3BCA28" w14:textId="77777777" w:rsidR="00590A22" w:rsidRDefault="00A66EDF" w:rsidP="00A66EDF">
      <w:pPr>
        <w:ind w:left="0" w:right="0"/>
        <w:jc w:val="both"/>
      </w:pPr>
      <w:r>
        <w:t xml:space="preserve">Il DPCM 08/03/2020 (art. 3, numero 1, lettera b), norma allo stato attuale cogente, raccomanda a tutte le persone anziane o affette da patologie croniche o con </w:t>
      </w:r>
      <w:proofErr w:type="spellStart"/>
      <w:r>
        <w:t>multimorbilità</w:t>
      </w:r>
      <w:proofErr w:type="spellEnd"/>
      <w:r>
        <w:t xml:space="preserve"> o con stati di immunodepressione </w:t>
      </w:r>
      <w:r>
        <w:t xml:space="preserve">congenita o acquisita "di evitare di uscire dalla propria abitazione o dimora fuori dai casi di stretta necessità e di evitare comunque luoghi affollati nei quali non sia possibile mantenere la distanza di sicurezza interpersonale di almeno un metro". </w:t>
      </w:r>
    </w:p>
    <w:p w14:paraId="66C73413" w14:textId="77777777" w:rsidR="00590A22" w:rsidRDefault="00A66EDF" w:rsidP="00A66EDF">
      <w:pPr>
        <w:ind w:left="0" w:right="0"/>
        <w:jc w:val="both"/>
      </w:pPr>
      <w:r>
        <w:t xml:space="preserve">Si allega alla presente elenco non esaustivo delle condizioni potenzialmente configurabili uno stato di “fragilità”. </w:t>
      </w:r>
    </w:p>
    <w:p w14:paraId="0325AB0D" w14:textId="348B46EB" w:rsidR="00590A22" w:rsidRDefault="00A66EDF" w:rsidP="00A66EDF">
      <w:pPr>
        <w:ind w:left="0" w:right="0"/>
        <w:jc w:val="both"/>
      </w:pPr>
      <w:r>
        <w:t>Fermo restando che le aziende sono tenute ad adottare tutte le misure necessarie a contenere il rischio di contagio, in particolare evitan</w:t>
      </w:r>
      <w:r>
        <w:t>do situazioni di affollamento in reparti produttivi, uffici e spazi comuni e consentendo il rispetto della distanza interpersonale prevista, eventualmente rimodulando il ciclo produttivo, si invita la Direzione Aziendale, fintanto che perdurerà l’attuale s</w:t>
      </w:r>
      <w:r>
        <w:t xml:space="preserve">ituazione di emergenza legata al contagio, </w:t>
      </w:r>
      <w:r>
        <w:t>ad informare tutti i Lavoratori che, qualora si considerino in situazioni di particolare fragilità (</w:t>
      </w:r>
      <w:proofErr w:type="spellStart"/>
      <w:r>
        <w:t>ipersuscettibili</w:t>
      </w:r>
      <w:proofErr w:type="spellEnd"/>
      <w:r>
        <w:t>), per patologie o stati di immunodepressione, dovranno rendersi parte attiva nel segnalare tale c</w:t>
      </w:r>
      <w:r>
        <w:t xml:space="preserve">ondizione, in primo luogo, ai rispettivi Medici di Medicina Generale (MMG). </w:t>
      </w:r>
    </w:p>
    <w:p w14:paraId="571FC5A6" w14:textId="77777777" w:rsidR="00590A22" w:rsidRDefault="00A66EDF" w:rsidP="00A66EDF">
      <w:pPr>
        <w:numPr>
          <w:ilvl w:val="0"/>
          <w:numId w:val="1"/>
        </w:numPr>
        <w:ind w:left="0" w:right="0"/>
        <w:jc w:val="both"/>
      </w:pPr>
      <w:r>
        <w:t>Il Medico di Medicina Generale potrà rilasciare un certificato di malattia applicando i codici nosologici che riterrà più opportuni al Lavoratore che, in tal senso, lo comunicherà</w:t>
      </w:r>
      <w:r>
        <w:t xml:space="preserve"> all’Azienda, per poi allontanarsi cautelativamente dal lavoro. </w:t>
      </w:r>
    </w:p>
    <w:p w14:paraId="78EE466C" w14:textId="77777777" w:rsidR="00590A22" w:rsidRDefault="00A66EDF" w:rsidP="00A66EDF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68109B43" w14:textId="77777777" w:rsidR="00590A22" w:rsidRDefault="00A66EDF" w:rsidP="00A66EDF">
      <w:pPr>
        <w:numPr>
          <w:ilvl w:val="0"/>
          <w:numId w:val="1"/>
        </w:numPr>
        <w:ind w:left="0" w:right="0"/>
        <w:jc w:val="both"/>
      </w:pPr>
      <w:r>
        <w:lastRenderedPageBreak/>
        <w:t>Qualora il Medico di Medicina Generale NON ritenesse di dover prescrivere il suddetto certificato di malattia allora potrà rilasciare al Lavoratore un certificato anamnestico con una dettag</w:t>
      </w:r>
      <w:r>
        <w:t xml:space="preserve">liata descrizione del quadro clinico e la diagnosi della patologia cronica e/o stato di immunodepressione che lo esporrebbe alla condizione di essere “fragile”. </w:t>
      </w:r>
    </w:p>
    <w:p w14:paraId="60214742" w14:textId="36938A42" w:rsidR="00590A22" w:rsidRDefault="00A66EDF" w:rsidP="00A66EDF">
      <w:pPr>
        <w:ind w:left="0" w:right="0"/>
        <w:jc w:val="both"/>
      </w:pPr>
      <w:r>
        <w:t xml:space="preserve">In tal caso il Lavoratore dovrà inviare al </w:t>
      </w:r>
      <w:r>
        <w:t>Medico Competente una mail (autorizzan</w:t>
      </w:r>
      <w:r>
        <w:t>do così il trattamento dei propri dati), con oggetto “STATO DI FRAGILITA’”, a</w:t>
      </w:r>
      <w:r>
        <w:t xml:space="preserve">lla quale allegherà il certificato anamnestico redatto dal MMG. </w:t>
      </w:r>
    </w:p>
    <w:p w14:paraId="77B79AB8" w14:textId="77777777" w:rsidR="00590A22" w:rsidRDefault="00A66EDF" w:rsidP="00A66EDF">
      <w:pPr>
        <w:ind w:left="0" w:right="0"/>
        <w:jc w:val="both"/>
      </w:pPr>
      <w:r>
        <w:t>In definitiva, nella mail che il Lavoratore invie</w:t>
      </w:r>
      <w:r>
        <w:t xml:space="preserve">rà al Medico Competente, trasmetterà le seguenti informazioni:  </w:t>
      </w:r>
    </w:p>
    <w:p w14:paraId="59B78CB0" w14:textId="77777777" w:rsidR="00590A22" w:rsidRDefault="00A66EDF" w:rsidP="00A66EDF">
      <w:pPr>
        <w:ind w:left="0" w:right="0"/>
        <w:jc w:val="both"/>
      </w:pPr>
      <w:r>
        <w:t>NOME e COGNOME, DATA DI NASCITA, AZIENDA, MANSIONE, SEDE DI LAVORO ed allegherà (se possibile in formato PDF) il CERTIFICATO ANAMNESTICO rilasciato dal Curante oppure, in assenza di esso, una</w:t>
      </w:r>
      <w:r>
        <w:t xml:space="preserve"> certificazione rilasciata da Struttura sanitaria appartenente al SSN o con esso convenzionata (utile a comprovare la condizione di cui sopra), in modo da consentire al Medico Competente di informare il Datore di Lavoro in merito alla sussistenza dello sta</w:t>
      </w:r>
      <w:r>
        <w:t xml:space="preserve">to di fragilità (nel rispetto della privacy e del segreto professionale), al fine di permettere all’azienda di adottare le ulteriori misure di prevenzione o protezione che riterrà utili per tutelare il Lavoratore fragile. </w:t>
      </w:r>
    </w:p>
    <w:p w14:paraId="719D21EA" w14:textId="77777777" w:rsidR="00590A22" w:rsidRDefault="00A66EDF" w:rsidP="00A66EDF">
      <w:pPr>
        <w:ind w:left="0" w:right="0"/>
        <w:jc w:val="both"/>
      </w:pPr>
      <w:r>
        <w:t>Per garantire il pieno rispetto d</w:t>
      </w:r>
      <w:r>
        <w:t>ella privacy, in NESSUN CASO il Lavoratore deve segnalare al responsabile aziendale la specifica patologia/condizione di cui e</w:t>
      </w:r>
      <w:r>
        <w:rPr>
          <w:rFonts w:ascii="Times New Roman" w:eastAsia="Times New Roman" w:hAnsi="Times New Roman" w:cs="Times New Roman"/>
        </w:rPr>
        <w:t>̀</w:t>
      </w:r>
      <w:r>
        <w:t xml:space="preserve"> portatore. </w:t>
      </w:r>
    </w:p>
    <w:p w14:paraId="342AF004" w14:textId="7E897F16" w:rsidR="00590A22" w:rsidRDefault="00A66EDF" w:rsidP="00A66EDF">
      <w:pPr>
        <w:ind w:left="0" w:right="0" w:firstLine="708"/>
        <w:jc w:val="both"/>
      </w:pPr>
      <w:proofErr w:type="gramStart"/>
      <w:r>
        <w:t>E’</w:t>
      </w:r>
      <w:proofErr w:type="gramEnd"/>
      <w:r>
        <w:t xml:space="preserve"> </w:t>
      </w:r>
      <w:r>
        <w:t>utile precisare che il parere espresso dal Medico Competente in merito al suddetto stato di fragilità del lavorato</w:t>
      </w:r>
      <w:r>
        <w:t>re non può e non deve tener conto di ulteriori considerazioni in merito all’inquadramento della persona durante e successivamente all’eventuale periodo di allontanamento cautelativo. Si precisa comunque che il Medico Competente può dare una Inidoneità temp</w:t>
      </w:r>
      <w:r>
        <w:t>oranea, consigliare al DDL lo smart working o un cambio di mansione, consigliare ulteriori cautele preventive e/o DPI aggiuntivi ma non può dare malattia, lasciando aperto pertanto il punto critico della remunerazione del "non lavoro".   L’unico che può da</w:t>
      </w:r>
      <w:r>
        <w:t xml:space="preserve">re malattia è il Medico di Medicina generale. </w:t>
      </w:r>
    </w:p>
    <w:p w14:paraId="6E469368" w14:textId="7BDD67C6" w:rsidR="00590A22" w:rsidRDefault="00A66EDF" w:rsidP="00A66EDF">
      <w:pPr>
        <w:spacing w:after="201" w:line="259" w:lineRule="auto"/>
        <w:ind w:left="0" w:right="0" w:firstLine="0"/>
        <w:jc w:val="both"/>
      </w:pPr>
      <w:r>
        <w:t xml:space="preserve">Distinti Saluti </w:t>
      </w:r>
    </w:p>
    <w:p w14:paraId="2491E156" w14:textId="77777777" w:rsidR="00590A22" w:rsidRDefault="00A66EDF" w:rsidP="00A66EDF">
      <w:pPr>
        <w:spacing w:after="234" w:line="259" w:lineRule="auto"/>
        <w:ind w:left="0" w:righ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7E7118" w14:textId="77777777" w:rsidR="00590A22" w:rsidRDefault="00A66EDF" w:rsidP="00A66EDF">
      <w:pPr>
        <w:spacing w:after="0" w:line="259" w:lineRule="auto"/>
        <w:ind w:left="0" w:right="0" w:firstLine="0"/>
        <w:jc w:val="both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14:paraId="0CC558D3" w14:textId="77777777" w:rsidR="00590A22" w:rsidRDefault="00A66EDF" w:rsidP="00A66EDF">
      <w:pPr>
        <w:pStyle w:val="Titolo1"/>
        <w:ind w:right="0"/>
        <w:jc w:val="both"/>
      </w:pPr>
      <w:r>
        <w:t xml:space="preserve">ALLEGATO </w:t>
      </w:r>
    </w:p>
    <w:p w14:paraId="09ED457C" w14:textId="77777777" w:rsidR="00590A22" w:rsidRDefault="00A66EDF" w:rsidP="00A66EDF">
      <w:pPr>
        <w:ind w:left="0" w:right="0"/>
        <w:jc w:val="both"/>
      </w:pPr>
      <w:r>
        <w:t xml:space="preserve">Rientrano nella categoria dei soggetti con stati di fragilità le persone con: </w:t>
      </w:r>
    </w:p>
    <w:p w14:paraId="452612A8" w14:textId="77777777" w:rsidR="00A66EDF" w:rsidRDefault="00A66EDF" w:rsidP="00A66EDF">
      <w:pPr>
        <w:spacing w:after="0" w:line="400" w:lineRule="auto"/>
        <w:ind w:left="0" w:right="0"/>
        <w:jc w:val="both"/>
      </w:pPr>
      <w:r>
        <w:lastRenderedPageBreak/>
        <w:t>*Coloro che hanno subito un t</w:t>
      </w:r>
      <w:r>
        <w:t>rapianto</w:t>
      </w:r>
    </w:p>
    <w:p w14:paraId="6BA00E5B" w14:textId="77777777" w:rsidR="00A66EDF" w:rsidRDefault="00A66EDF" w:rsidP="00A66EDF">
      <w:pPr>
        <w:spacing w:after="0" w:line="400" w:lineRule="auto"/>
        <w:ind w:left="0" w:right="0"/>
        <w:jc w:val="both"/>
      </w:pPr>
      <w:r>
        <w:t xml:space="preserve">*Chi sta eseguendo terapia antiretrovirale </w:t>
      </w:r>
    </w:p>
    <w:p w14:paraId="6E8F6DAD" w14:textId="72276023" w:rsidR="00590A22" w:rsidRDefault="00A66EDF" w:rsidP="00A66EDF">
      <w:pPr>
        <w:spacing w:after="0" w:line="400" w:lineRule="auto"/>
        <w:ind w:left="0" w:right="0"/>
        <w:jc w:val="both"/>
      </w:pPr>
      <w:r>
        <w:t xml:space="preserve">*Pazienti affetti da Epatite B, C e D. </w:t>
      </w:r>
    </w:p>
    <w:p w14:paraId="0F6F7891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Diabete mellito Insulinodipendente </w:t>
      </w:r>
    </w:p>
    <w:p w14:paraId="427109C0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Malattie cardiovascolari croniche/Fibrillazione Atriale/Ipertensione arteriosa scompensata </w:t>
      </w:r>
    </w:p>
    <w:p w14:paraId="058FD1A3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>Donne i</w:t>
      </w:r>
      <w:r>
        <w:t xml:space="preserve">n stato di gravidanza </w:t>
      </w:r>
    </w:p>
    <w:p w14:paraId="796A073E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Gravi broncopneumopatie croniche/Asma grave </w:t>
      </w:r>
    </w:p>
    <w:p w14:paraId="73A4DC18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Malattie del sistema immunitario con presenza di immunodeficienza congenita o acquisita </w:t>
      </w:r>
    </w:p>
    <w:p w14:paraId="169C6741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Malattie oncologiche non in remissione clinica </w:t>
      </w:r>
    </w:p>
    <w:p w14:paraId="0931D6B3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Malattie autoimmuni </w:t>
      </w:r>
    </w:p>
    <w:p w14:paraId="58063956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>Soggetti in trattamento con fa</w:t>
      </w:r>
      <w:r>
        <w:t xml:space="preserve">rmaci immunosoppressori o immunomodulatori </w:t>
      </w:r>
    </w:p>
    <w:p w14:paraId="01D28DCF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Insufficienza renale cronica </w:t>
      </w:r>
    </w:p>
    <w:p w14:paraId="0596F174" w14:textId="77777777" w:rsidR="00590A22" w:rsidRDefault="00A66EDF" w:rsidP="00A66EDF">
      <w:pPr>
        <w:numPr>
          <w:ilvl w:val="0"/>
          <w:numId w:val="2"/>
        </w:numPr>
        <w:ind w:left="0" w:right="0" w:hanging="173"/>
        <w:jc w:val="both"/>
      </w:pPr>
      <w:r>
        <w:t xml:space="preserve">Pazienti con </w:t>
      </w:r>
      <w:proofErr w:type="spellStart"/>
      <w:r>
        <w:t>multimorbilità</w:t>
      </w:r>
      <w:proofErr w:type="spellEnd"/>
      <w:r>
        <w:t xml:space="preserve"> (più patologie coesistenti)  </w:t>
      </w:r>
    </w:p>
    <w:p w14:paraId="2F88E679" w14:textId="77777777" w:rsidR="00A66EDF" w:rsidRDefault="00A66EDF" w:rsidP="00A66EDF">
      <w:pPr>
        <w:ind w:left="0" w:right="0" w:firstLine="0"/>
        <w:jc w:val="both"/>
      </w:pPr>
    </w:p>
    <w:p w14:paraId="0AB9ABEA" w14:textId="31FE8D18" w:rsidR="00590A22" w:rsidRDefault="00A66EDF" w:rsidP="00A66EDF">
      <w:pPr>
        <w:ind w:left="0" w:right="0" w:firstLine="0"/>
        <w:jc w:val="both"/>
      </w:pPr>
      <w:r>
        <w:t xml:space="preserve">Si precisa che tale elenco presentato non è esaustivo; per questo motivo, in presenza di dubbi sulla rilevanza di altre condizioni patologiche di </w:t>
      </w:r>
      <w:proofErr w:type="spellStart"/>
      <w:r>
        <w:t>ipersuscettibilità</w:t>
      </w:r>
      <w:proofErr w:type="spellEnd"/>
      <w:r>
        <w:t>, il lavoratore dovrà fare riferimento alle figure mediche indicate (Medico di Medicina Gene</w:t>
      </w:r>
      <w:r>
        <w:t xml:space="preserve">rale e Medico Competente aziendale). </w:t>
      </w:r>
    </w:p>
    <w:p w14:paraId="0D77A318" w14:textId="77777777" w:rsidR="00A66EDF" w:rsidRDefault="00A66EDF" w:rsidP="00A66EDF">
      <w:pPr>
        <w:ind w:left="0" w:right="0" w:firstLine="0"/>
        <w:jc w:val="both"/>
      </w:pPr>
    </w:p>
    <w:p w14:paraId="1004E008" w14:textId="77777777" w:rsidR="00590A22" w:rsidRPr="00A66EDF" w:rsidRDefault="00A66EDF" w:rsidP="00A66EDF">
      <w:pPr>
        <w:ind w:left="0" w:right="0"/>
        <w:jc w:val="both"/>
        <w:rPr>
          <w:b/>
          <w:bCs/>
        </w:rPr>
      </w:pPr>
      <w:r w:rsidRPr="00A66EDF">
        <w:rPr>
          <w:b/>
          <w:bCs/>
        </w:rPr>
        <w:t xml:space="preserve">In conclusione: </w:t>
      </w:r>
    </w:p>
    <w:p w14:paraId="261347B0" w14:textId="77777777" w:rsidR="00590A22" w:rsidRDefault="00A66EDF" w:rsidP="00A66EDF">
      <w:pPr>
        <w:ind w:left="0" w:right="0"/>
        <w:jc w:val="both"/>
      </w:pPr>
      <w:r>
        <w:t>Le seguenti indicazioni operative vengono adottate nel contesto di assoluta eccezionalità determinato dall’attuale emergenza COVID-19 e hanno lo scopo di fornire un inquadramento per la gestione nei lu</w:t>
      </w:r>
      <w:r>
        <w:t xml:space="preserve">oghi di lavoro delle persone con particolari fragilità, nei limiti del possibile determinati dall’attuale situazione. </w:t>
      </w:r>
    </w:p>
    <w:p w14:paraId="4CB1E109" w14:textId="77777777" w:rsidR="00590A22" w:rsidRDefault="00A66EDF" w:rsidP="00A66EDF">
      <w:pPr>
        <w:ind w:left="0" w:right="0"/>
        <w:jc w:val="both"/>
      </w:pPr>
      <w:r>
        <w:t xml:space="preserve">Queste indicazioni, infine, non possono in nessuna forma essere considerate come applicabili anche al cessare dell’emergenza. </w:t>
      </w:r>
    </w:p>
    <w:sectPr w:rsidR="00590A22" w:rsidSect="00A66EDF">
      <w:headerReference w:type="even" r:id="rId7"/>
      <w:headerReference w:type="default" r:id="rId8"/>
      <w:headerReference w:type="first" r:id="rId9"/>
      <w:pgSz w:w="11906" w:h="16838"/>
      <w:pgMar w:top="709" w:right="1068" w:bottom="709" w:left="1132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532A" w14:textId="77777777" w:rsidR="00000000" w:rsidRDefault="00A66EDF">
      <w:pPr>
        <w:spacing w:after="0" w:line="240" w:lineRule="auto"/>
      </w:pPr>
      <w:r>
        <w:separator/>
      </w:r>
    </w:p>
  </w:endnote>
  <w:endnote w:type="continuationSeparator" w:id="0">
    <w:p w14:paraId="239D022B" w14:textId="77777777" w:rsidR="00000000" w:rsidRDefault="00A6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16AF" w14:textId="77777777" w:rsidR="00000000" w:rsidRDefault="00A66EDF">
      <w:pPr>
        <w:spacing w:after="0" w:line="240" w:lineRule="auto"/>
      </w:pPr>
      <w:r>
        <w:separator/>
      </w:r>
    </w:p>
  </w:footnote>
  <w:footnote w:type="continuationSeparator" w:id="0">
    <w:p w14:paraId="52D15FD1" w14:textId="77777777" w:rsidR="00000000" w:rsidRDefault="00A6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D3EF" w14:textId="77777777" w:rsidR="00590A22" w:rsidRDefault="00A66EDF">
    <w:pPr>
      <w:spacing w:after="0" w:line="259" w:lineRule="auto"/>
      <w:ind w:left="0" w:right="-1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E23E3B" wp14:editId="227A176E">
          <wp:simplePos x="0" y="0"/>
          <wp:positionH relativeFrom="page">
            <wp:posOffset>739139</wp:posOffset>
          </wp:positionH>
          <wp:positionV relativeFrom="page">
            <wp:posOffset>449580</wp:posOffset>
          </wp:positionV>
          <wp:extent cx="6120130" cy="1080135"/>
          <wp:effectExtent l="0" t="0" r="0" b="0"/>
          <wp:wrapSquare wrapText="bothSides"/>
          <wp:docPr id="1350" name="Picture 13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" name="Picture 13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E3E1" w14:textId="3BFE2E92" w:rsidR="00590A22" w:rsidRDefault="00590A22">
    <w:pPr>
      <w:spacing w:after="0" w:line="259" w:lineRule="auto"/>
      <w:ind w:left="0" w:right="-11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5FDE" w14:textId="77777777" w:rsidR="00590A22" w:rsidRDefault="00A66EDF">
    <w:pPr>
      <w:spacing w:after="0" w:line="259" w:lineRule="auto"/>
      <w:ind w:left="0" w:right="-1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BFD9CA" wp14:editId="0D130D07">
          <wp:simplePos x="0" y="0"/>
          <wp:positionH relativeFrom="page">
            <wp:posOffset>739139</wp:posOffset>
          </wp:positionH>
          <wp:positionV relativeFrom="page">
            <wp:posOffset>449580</wp:posOffset>
          </wp:positionV>
          <wp:extent cx="6120130" cy="1080135"/>
          <wp:effectExtent l="0" t="0" r="0" b="0"/>
          <wp:wrapSquare wrapText="bothSides"/>
          <wp:docPr id="1351" name="Picture 13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" name="Picture 13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00E9"/>
    <w:multiLevelType w:val="hybridMultilevel"/>
    <w:tmpl w:val="1B087554"/>
    <w:lvl w:ilvl="0" w:tplc="771A9106">
      <w:start w:val="1"/>
      <w:numFmt w:val="bullet"/>
      <w:lvlText w:val="*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E95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47D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CDF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813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E80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E69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207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2AB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F4F84"/>
    <w:multiLevelType w:val="hybridMultilevel"/>
    <w:tmpl w:val="72B2B59A"/>
    <w:lvl w:ilvl="0" w:tplc="670476F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EE2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4A99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6E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005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41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A00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464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A8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22"/>
    <w:rsid w:val="00590A22"/>
    <w:rsid w:val="00A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4C71"/>
  <w15:docId w15:val="{91489030-CFEA-4F4A-9298-776787A3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8" w:line="267" w:lineRule="auto"/>
      <w:ind w:left="10" w:right="64" w:hanging="10"/>
    </w:pPr>
    <w:rPr>
      <w:rFonts w:ascii="Calibri" w:eastAsia="Calibri" w:hAnsi="Calibri" w:cs="Calibri"/>
      <w:color w:val="000000"/>
      <w:sz w:val="2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7"/>
      <w:ind w:right="7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A66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EDF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Circ. 491 - Covid-19-informativa lavoratori fragili</dc:title>
  <dc:subject/>
  <dc:creator>bc</dc:creator>
  <cp:keywords/>
  <cp:lastModifiedBy>Antonio Fundaro</cp:lastModifiedBy>
  <cp:revision>2</cp:revision>
  <dcterms:created xsi:type="dcterms:W3CDTF">2021-09-12T17:32:00Z</dcterms:created>
  <dcterms:modified xsi:type="dcterms:W3CDTF">2021-09-12T17:32:00Z</dcterms:modified>
</cp:coreProperties>
</file>